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D18" w:rsidRPr="00071D18" w:rsidRDefault="00071D18" w:rsidP="00071D18">
      <w:pPr>
        <w:pStyle w:val="Default"/>
        <w:jc w:val="center"/>
        <w:rPr>
          <w:rFonts w:asciiTheme="minorHAnsi" w:hAnsiTheme="minorHAnsi" w:cstheme="minorHAnsi"/>
          <w:b/>
          <w:bCs/>
          <w:sz w:val="32"/>
          <w:szCs w:val="32"/>
        </w:rPr>
      </w:pPr>
      <w:bookmarkStart w:id="0" w:name="_GoBack"/>
      <w:bookmarkEnd w:id="0"/>
      <w:r>
        <w:rPr>
          <w:rFonts w:asciiTheme="minorHAnsi" w:hAnsiTheme="minorHAnsi" w:cstheme="minorHAnsi"/>
          <w:b/>
          <w:bCs/>
          <w:sz w:val="32"/>
          <w:szCs w:val="32"/>
        </w:rPr>
        <w:t>BIJLAGE 5 – Maatregelen naar aanleiding van periodes van tijdelijke werkloosheid wegens overmacht ten gevolge van de pandemie, veroorzaakt door COVID-19</w:t>
      </w:r>
    </w:p>
    <w:p w:rsidR="00071D18" w:rsidRDefault="00071D18" w:rsidP="00AD7CB3">
      <w:pPr>
        <w:pStyle w:val="Default"/>
        <w:jc w:val="both"/>
        <w:rPr>
          <w:rFonts w:asciiTheme="minorHAnsi" w:hAnsiTheme="minorHAnsi" w:cstheme="minorHAnsi"/>
          <w:b/>
          <w:bCs/>
          <w:sz w:val="22"/>
          <w:szCs w:val="22"/>
        </w:rPr>
      </w:pPr>
    </w:p>
    <w:p w:rsidR="00AD7CB3" w:rsidRPr="00A3147D" w:rsidRDefault="00AD7CB3" w:rsidP="00AD7CB3">
      <w:pPr>
        <w:pStyle w:val="Default"/>
        <w:jc w:val="both"/>
        <w:rPr>
          <w:rFonts w:asciiTheme="minorHAnsi" w:hAnsiTheme="minorHAnsi" w:cstheme="minorHAnsi"/>
          <w:sz w:val="22"/>
          <w:szCs w:val="22"/>
        </w:rPr>
      </w:pPr>
      <w:r>
        <w:rPr>
          <w:rFonts w:asciiTheme="minorHAnsi" w:hAnsiTheme="minorHAnsi" w:cstheme="minorHAnsi"/>
          <w:b/>
          <w:bCs/>
          <w:sz w:val="22"/>
          <w:szCs w:val="22"/>
        </w:rPr>
        <w:t>Art. 1</w:t>
      </w:r>
      <w:r>
        <w:rPr>
          <w:rFonts w:asciiTheme="minorHAnsi" w:hAnsiTheme="minorHAnsi" w:cstheme="minorHAnsi"/>
          <w:b/>
          <w:bCs/>
          <w:sz w:val="22"/>
          <w:szCs w:val="22"/>
        </w:rPr>
        <w:tab/>
      </w:r>
      <w:r w:rsidRPr="00A3147D">
        <w:rPr>
          <w:rFonts w:asciiTheme="minorHAnsi" w:hAnsiTheme="minorHAnsi" w:cstheme="minorHAnsi"/>
          <w:sz w:val="22"/>
          <w:szCs w:val="22"/>
        </w:rPr>
        <w:t xml:space="preserve">Dit hoofdstuk is van toepassing op: </w:t>
      </w:r>
    </w:p>
    <w:p w:rsidR="00AD7CB3" w:rsidRPr="00A3147D" w:rsidRDefault="00AD7CB3" w:rsidP="00AD7CB3">
      <w:pPr>
        <w:pStyle w:val="Default"/>
        <w:jc w:val="both"/>
        <w:rPr>
          <w:rFonts w:asciiTheme="minorHAnsi" w:hAnsiTheme="minorHAnsi" w:cstheme="minorHAnsi"/>
          <w:sz w:val="22"/>
          <w:szCs w:val="22"/>
        </w:rPr>
      </w:pPr>
      <w:r w:rsidRPr="00A3147D">
        <w:rPr>
          <w:rFonts w:asciiTheme="minorHAnsi" w:hAnsiTheme="minorHAnsi" w:cstheme="minorHAnsi"/>
          <w:sz w:val="22"/>
          <w:szCs w:val="22"/>
        </w:rPr>
        <w:t xml:space="preserve">1° het gemeentepersoneel, vermeld in artikel 162, §1, en in artikel 182 van het decreet van 22 december 2017; </w:t>
      </w:r>
    </w:p>
    <w:p w:rsidR="00AD7CB3" w:rsidRPr="00A3147D" w:rsidRDefault="00AD7CB3" w:rsidP="00AD7CB3">
      <w:pPr>
        <w:pStyle w:val="Default"/>
        <w:jc w:val="both"/>
        <w:rPr>
          <w:rFonts w:asciiTheme="minorHAnsi" w:hAnsiTheme="minorHAnsi" w:cstheme="minorHAnsi"/>
          <w:sz w:val="22"/>
          <w:szCs w:val="22"/>
        </w:rPr>
      </w:pPr>
      <w:r w:rsidRPr="00A3147D">
        <w:rPr>
          <w:rFonts w:asciiTheme="minorHAnsi" w:hAnsiTheme="minorHAnsi" w:cstheme="minorHAnsi"/>
          <w:sz w:val="22"/>
          <w:szCs w:val="22"/>
        </w:rPr>
        <w:t xml:space="preserve">2° het personeel van het autonoom gemeentebedrijf, vermeld in artikel 239 van het decreet van 22 december 2017; </w:t>
      </w:r>
    </w:p>
    <w:p w:rsidR="00AD7CB3" w:rsidRPr="00A3147D" w:rsidRDefault="00AD7CB3" w:rsidP="00AD7CB3">
      <w:pPr>
        <w:pStyle w:val="Default"/>
        <w:jc w:val="both"/>
        <w:rPr>
          <w:rFonts w:asciiTheme="minorHAnsi" w:hAnsiTheme="minorHAnsi" w:cstheme="minorHAnsi"/>
          <w:sz w:val="22"/>
          <w:szCs w:val="22"/>
        </w:rPr>
      </w:pPr>
      <w:r>
        <w:rPr>
          <w:rFonts w:asciiTheme="minorHAnsi" w:hAnsiTheme="minorHAnsi" w:cstheme="minorHAnsi"/>
          <w:sz w:val="22"/>
          <w:szCs w:val="22"/>
        </w:rPr>
        <w:t>3</w:t>
      </w:r>
      <w:r w:rsidRPr="00A3147D">
        <w:rPr>
          <w:rFonts w:asciiTheme="minorHAnsi" w:hAnsiTheme="minorHAnsi" w:cstheme="minorHAnsi"/>
          <w:sz w:val="22"/>
          <w:szCs w:val="22"/>
        </w:rPr>
        <w:t xml:space="preserve">° het personeel van het openbaar centrum voor maatschappelijk welzijn, vermeld in artikel 182 en 183 van het decreet van 22 december 2017; </w:t>
      </w:r>
    </w:p>
    <w:p w:rsidR="00AD7CB3" w:rsidRPr="00A3147D" w:rsidRDefault="00AD7CB3" w:rsidP="00AD7CB3">
      <w:pPr>
        <w:pStyle w:val="Default"/>
        <w:jc w:val="both"/>
        <w:rPr>
          <w:rFonts w:asciiTheme="minorHAnsi" w:hAnsiTheme="minorHAnsi" w:cstheme="minorHAnsi"/>
          <w:sz w:val="22"/>
          <w:szCs w:val="22"/>
        </w:rPr>
      </w:pPr>
    </w:p>
    <w:p w:rsidR="00AD7CB3" w:rsidRDefault="00AD7CB3" w:rsidP="00AD7CB3">
      <w:pPr>
        <w:pStyle w:val="Default"/>
        <w:jc w:val="both"/>
        <w:rPr>
          <w:rFonts w:asciiTheme="minorHAnsi" w:hAnsiTheme="minorHAnsi" w:cstheme="minorHAnsi"/>
          <w:sz w:val="22"/>
          <w:szCs w:val="22"/>
        </w:rPr>
      </w:pPr>
      <w:r>
        <w:rPr>
          <w:rFonts w:asciiTheme="minorHAnsi" w:hAnsiTheme="minorHAnsi" w:cstheme="minorHAnsi"/>
          <w:b/>
          <w:bCs/>
          <w:sz w:val="22"/>
          <w:szCs w:val="22"/>
        </w:rPr>
        <w:t>Art. 2</w:t>
      </w:r>
      <w:r w:rsidRPr="00A3147D">
        <w:rPr>
          <w:rFonts w:asciiTheme="minorHAnsi" w:hAnsiTheme="minorHAnsi" w:cstheme="minorHAnsi"/>
          <w:b/>
          <w:bCs/>
          <w:sz w:val="22"/>
          <w:szCs w:val="22"/>
        </w:rPr>
        <w:t xml:space="preserve"> </w:t>
      </w:r>
      <w:r>
        <w:rPr>
          <w:rFonts w:asciiTheme="minorHAnsi" w:hAnsiTheme="minorHAnsi" w:cstheme="minorHAnsi"/>
          <w:b/>
          <w:bCs/>
          <w:sz w:val="22"/>
          <w:szCs w:val="22"/>
        </w:rPr>
        <w:tab/>
      </w:r>
      <w:r w:rsidRPr="00A3147D">
        <w:rPr>
          <w:rFonts w:asciiTheme="minorHAnsi" w:hAnsiTheme="minorHAnsi" w:cstheme="minorHAnsi"/>
          <w:sz w:val="22"/>
          <w:szCs w:val="22"/>
        </w:rPr>
        <w:t xml:space="preserve">De periodes die de Rijksdienst voor Arbeidsvoorziening erkent als tijdelijke werkloosheid wegens overmacht ten gevolge van de pandemie, veroorzaakt door COVID-19, tellen mee voor de berekening van de </w:t>
      </w:r>
      <w:r w:rsidRPr="00A002E1">
        <w:rPr>
          <w:rFonts w:asciiTheme="minorHAnsi" w:hAnsiTheme="minorHAnsi" w:cstheme="minorHAnsi"/>
          <w:b/>
          <w:sz w:val="22"/>
          <w:szCs w:val="22"/>
        </w:rPr>
        <w:t xml:space="preserve">administratieve </w:t>
      </w:r>
      <w:proofErr w:type="spellStart"/>
      <w:r w:rsidRPr="00A002E1">
        <w:rPr>
          <w:rFonts w:asciiTheme="minorHAnsi" w:hAnsiTheme="minorHAnsi" w:cstheme="minorHAnsi"/>
          <w:b/>
          <w:sz w:val="22"/>
          <w:szCs w:val="22"/>
        </w:rPr>
        <w:t>anciënniteiten</w:t>
      </w:r>
      <w:proofErr w:type="spellEnd"/>
      <w:r w:rsidRPr="00A3147D">
        <w:rPr>
          <w:rFonts w:asciiTheme="minorHAnsi" w:hAnsiTheme="minorHAnsi" w:cstheme="minorHAnsi"/>
          <w:sz w:val="22"/>
          <w:szCs w:val="22"/>
        </w:rPr>
        <w:t xml:space="preserve"> vermeld in </w:t>
      </w:r>
      <w:r w:rsidRPr="00E87901">
        <w:rPr>
          <w:rFonts w:asciiTheme="minorHAnsi" w:hAnsiTheme="minorHAnsi" w:cstheme="minorHAnsi"/>
          <w:sz w:val="22"/>
          <w:szCs w:val="22"/>
          <w:highlight w:val="green"/>
        </w:rPr>
        <w:t>artikel 93</w:t>
      </w:r>
      <w:r>
        <w:rPr>
          <w:rFonts w:asciiTheme="minorHAnsi" w:hAnsiTheme="minorHAnsi" w:cstheme="minorHAnsi"/>
          <w:sz w:val="22"/>
          <w:szCs w:val="22"/>
        </w:rPr>
        <w:t xml:space="preserve"> van deze rechtspositieregeling.</w:t>
      </w:r>
    </w:p>
    <w:p w:rsidR="00AD7CB3" w:rsidRPr="00A3147D" w:rsidRDefault="00AD7CB3" w:rsidP="00AD7CB3">
      <w:pPr>
        <w:pStyle w:val="Default"/>
        <w:jc w:val="both"/>
        <w:rPr>
          <w:rFonts w:asciiTheme="minorHAnsi" w:hAnsiTheme="minorHAnsi" w:cstheme="minorHAnsi"/>
          <w:sz w:val="22"/>
          <w:szCs w:val="22"/>
        </w:rPr>
      </w:pPr>
    </w:p>
    <w:p w:rsidR="00AD7CB3" w:rsidRDefault="00AD7CB3" w:rsidP="00AD7CB3">
      <w:pPr>
        <w:pStyle w:val="Default"/>
        <w:jc w:val="both"/>
        <w:rPr>
          <w:rFonts w:asciiTheme="minorHAnsi" w:hAnsiTheme="minorHAnsi" w:cstheme="minorHAnsi"/>
          <w:sz w:val="22"/>
          <w:szCs w:val="22"/>
        </w:rPr>
      </w:pPr>
      <w:r>
        <w:rPr>
          <w:rFonts w:asciiTheme="minorHAnsi" w:hAnsiTheme="minorHAnsi" w:cstheme="minorHAnsi"/>
          <w:b/>
          <w:bCs/>
          <w:sz w:val="22"/>
          <w:szCs w:val="22"/>
        </w:rPr>
        <w:t>Art. 3</w:t>
      </w:r>
      <w:r w:rsidRPr="00A3147D">
        <w:rPr>
          <w:rFonts w:asciiTheme="minorHAnsi" w:hAnsiTheme="minorHAnsi" w:cstheme="minorHAnsi"/>
          <w:b/>
          <w:bCs/>
          <w:sz w:val="22"/>
          <w:szCs w:val="22"/>
        </w:rPr>
        <w:t xml:space="preserve"> </w:t>
      </w:r>
      <w:r>
        <w:rPr>
          <w:rFonts w:asciiTheme="minorHAnsi" w:hAnsiTheme="minorHAnsi" w:cstheme="minorHAnsi"/>
          <w:b/>
          <w:bCs/>
          <w:sz w:val="22"/>
          <w:szCs w:val="22"/>
        </w:rPr>
        <w:tab/>
      </w:r>
      <w:r w:rsidRPr="00A3147D">
        <w:rPr>
          <w:rFonts w:asciiTheme="minorHAnsi" w:hAnsiTheme="minorHAnsi" w:cstheme="minorHAnsi"/>
          <w:sz w:val="22"/>
          <w:szCs w:val="22"/>
        </w:rPr>
        <w:t xml:space="preserve">De periodes die de Rijksdienst voor Arbeidsvoorziening erkent als tijdelijke werkloosheid wegens overmacht ten gevolge van de pandemie, veroorzaakt door COVID-19, tellen mee als </w:t>
      </w:r>
      <w:r w:rsidRPr="00A002E1">
        <w:rPr>
          <w:rFonts w:asciiTheme="minorHAnsi" w:hAnsiTheme="minorHAnsi" w:cstheme="minorHAnsi"/>
          <w:b/>
          <w:sz w:val="22"/>
          <w:szCs w:val="22"/>
        </w:rPr>
        <w:t>werkelijke dienst</w:t>
      </w:r>
      <w:r w:rsidRPr="00A3147D">
        <w:rPr>
          <w:rFonts w:asciiTheme="minorHAnsi" w:hAnsiTheme="minorHAnsi" w:cstheme="minorHAnsi"/>
          <w:sz w:val="22"/>
          <w:szCs w:val="22"/>
        </w:rPr>
        <w:t xml:space="preserve"> vermeld in </w:t>
      </w:r>
      <w:r w:rsidRPr="00E87901">
        <w:rPr>
          <w:rFonts w:asciiTheme="minorHAnsi" w:hAnsiTheme="minorHAnsi" w:cstheme="minorHAnsi"/>
          <w:sz w:val="22"/>
          <w:szCs w:val="22"/>
          <w:highlight w:val="green"/>
        </w:rPr>
        <w:t>artikel 93</w:t>
      </w:r>
      <w:r>
        <w:rPr>
          <w:rFonts w:asciiTheme="minorHAnsi" w:hAnsiTheme="minorHAnsi" w:cstheme="minorHAnsi"/>
          <w:sz w:val="22"/>
          <w:szCs w:val="22"/>
        </w:rPr>
        <w:t xml:space="preserve"> van deze rechtspositieregeling.</w:t>
      </w:r>
    </w:p>
    <w:p w:rsidR="00AD7CB3" w:rsidRPr="00A3147D" w:rsidRDefault="00AD7CB3" w:rsidP="00AD7CB3">
      <w:pPr>
        <w:pStyle w:val="Default"/>
        <w:jc w:val="both"/>
        <w:rPr>
          <w:rFonts w:asciiTheme="minorHAnsi" w:hAnsiTheme="minorHAnsi" w:cstheme="minorHAnsi"/>
          <w:sz w:val="22"/>
          <w:szCs w:val="22"/>
        </w:rPr>
      </w:pPr>
    </w:p>
    <w:p w:rsidR="00AD7CB3" w:rsidRDefault="00AD7CB3" w:rsidP="00AD7CB3">
      <w:pPr>
        <w:pStyle w:val="Default"/>
        <w:jc w:val="both"/>
        <w:rPr>
          <w:rFonts w:asciiTheme="minorHAnsi" w:hAnsiTheme="minorHAnsi" w:cstheme="minorHAnsi"/>
          <w:color w:val="auto"/>
          <w:sz w:val="22"/>
          <w:szCs w:val="22"/>
        </w:rPr>
      </w:pPr>
      <w:r>
        <w:rPr>
          <w:rFonts w:asciiTheme="minorHAnsi" w:hAnsiTheme="minorHAnsi" w:cstheme="minorHAnsi"/>
          <w:b/>
          <w:bCs/>
          <w:sz w:val="22"/>
          <w:szCs w:val="22"/>
        </w:rPr>
        <w:t>Art. 4</w:t>
      </w:r>
      <w:r w:rsidRPr="00A3147D">
        <w:rPr>
          <w:rFonts w:asciiTheme="minorHAnsi" w:hAnsiTheme="minorHAnsi" w:cstheme="minorHAnsi"/>
          <w:b/>
          <w:bCs/>
          <w:sz w:val="22"/>
          <w:szCs w:val="22"/>
        </w:rPr>
        <w:t xml:space="preserve"> </w:t>
      </w:r>
      <w:r>
        <w:rPr>
          <w:rFonts w:asciiTheme="minorHAnsi" w:hAnsiTheme="minorHAnsi" w:cstheme="minorHAnsi"/>
          <w:b/>
          <w:bCs/>
          <w:sz w:val="22"/>
          <w:szCs w:val="22"/>
        </w:rPr>
        <w:tab/>
      </w:r>
      <w:r w:rsidRPr="00A3147D">
        <w:rPr>
          <w:rFonts w:asciiTheme="minorHAnsi" w:hAnsiTheme="minorHAnsi" w:cstheme="minorHAnsi"/>
          <w:sz w:val="22"/>
          <w:szCs w:val="22"/>
        </w:rPr>
        <w:t xml:space="preserve">De periodes die de Rijksdienst voor Arbeidsvoorziening erkent als tijdelijke werkloosheid wegens overmacht ten gevolge van de pandemie, veroorzaakt door COVID-19, worden </w:t>
      </w:r>
      <w:r w:rsidRPr="00A002E1">
        <w:rPr>
          <w:rFonts w:asciiTheme="minorHAnsi" w:hAnsiTheme="minorHAnsi" w:cstheme="minorHAnsi"/>
          <w:b/>
          <w:sz w:val="22"/>
          <w:szCs w:val="22"/>
        </w:rPr>
        <w:t xml:space="preserve">voor de berekening van de </w:t>
      </w:r>
      <w:proofErr w:type="spellStart"/>
      <w:r w:rsidRPr="00A002E1">
        <w:rPr>
          <w:rFonts w:asciiTheme="minorHAnsi" w:hAnsiTheme="minorHAnsi" w:cstheme="minorHAnsi"/>
          <w:b/>
          <w:sz w:val="22"/>
          <w:szCs w:val="22"/>
        </w:rPr>
        <w:t>eindejaarstoelage</w:t>
      </w:r>
      <w:proofErr w:type="spellEnd"/>
      <w:r w:rsidRPr="00A002E1">
        <w:rPr>
          <w:rFonts w:asciiTheme="minorHAnsi" w:hAnsiTheme="minorHAnsi" w:cstheme="minorHAnsi"/>
          <w:b/>
          <w:sz w:val="22"/>
          <w:szCs w:val="22"/>
        </w:rPr>
        <w:t xml:space="preserve"> gelijkgesteld</w:t>
      </w:r>
      <w:r w:rsidRPr="00A3147D">
        <w:rPr>
          <w:rFonts w:asciiTheme="minorHAnsi" w:hAnsiTheme="minorHAnsi" w:cstheme="minorHAnsi"/>
          <w:sz w:val="22"/>
          <w:szCs w:val="22"/>
        </w:rPr>
        <w:t xml:space="preserve"> met periodes waarvoor het personeelslid het salaris volledig heeft ontvangen, vermeld in </w:t>
      </w:r>
      <w:r w:rsidRPr="000547B3">
        <w:rPr>
          <w:rFonts w:asciiTheme="minorHAnsi" w:hAnsiTheme="minorHAnsi" w:cstheme="minorHAnsi"/>
          <w:sz w:val="22"/>
          <w:szCs w:val="22"/>
          <w:highlight w:val="green"/>
        </w:rPr>
        <w:t>artikel 199</w:t>
      </w:r>
      <w:r>
        <w:rPr>
          <w:rFonts w:asciiTheme="minorHAnsi" w:hAnsiTheme="minorHAnsi" w:cstheme="minorHAnsi"/>
          <w:sz w:val="22"/>
          <w:szCs w:val="22"/>
        </w:rPr>
        <w:t xml:space="preserve"> van deze rechtspositieregeling</w:t>
      </w:r>
      <w:r w:rsidRPr="00A3147D">
        <w:rPr>
          <w:rFonts w:asciiTheme="minorHAnsi" w:hAnsiTheme="minorHAnsi" w:cstheme="minorHAnsi"/>
          <w:sz w:val="22"/>
          <w:szCs w:val="22"/>
        </w:rPr>
        <w:t xml:space="preserve">, </w:t>
      </w:r>
      <w:r w:rsidRPr="00A002E1">
        <w:rPr>
          <w:rFonts w:asciiTheme="minorHAnsi" w:hAnsiTheme="minorHAnsi" w:cstheme="minorHAnsi"/>
          <w:b/>
          <w:sz w:val="22"/>
          <w:szCs w:val="22"/>
        </w:rPr>
        <w:t xml:space="preserve">op voorwaarde dat het </w:t>
      </w:r>
      <w:r w:rsidRPr="00A002E1">
        <w:rPr>
          <w:rFonts w:asciiTheme="minorHAnsi" w:hAnsiTheme="minorHAnsi" w:cstheme="minorHAnsi"/>
          <w:b/>
          <w:color w:val="auto"/>
          <w:sz w:val="22"/>
          <w:szCs w:val="22"/>
        </w:rPr>
        <w:t>personeelslid tijdens de referentieperiode titularis van een betrekking met volledige prestaties of onvolledige prestaties was</w:t>
      </w:r>
      <w:r w:rsidRPr="00A3147D">
        <w:rPr>
          <w:rFonts w:asciiTheme="minorHAnsi" w:hAnsiTheme="minorHAnsi" w:cstheme="minorHAnsi"/>
          <w:color w:val="auto"/>
          <w:sz w:val="22"/>
          <w:szCs w:val="22"/>
        </w:rPr>
        <w:t xml:space="preserve">. </w:t>
      </w:r>
    </w:p>
    <w:p w:rsidR="00AD7CB3" w:rsidRPr="00A3147D" w:rsidRDefault="00AD7CB3" w:rsidP="00AD7CB3">
      <w:pPr>
        <w:pStyle w:val="Default"/>
        <w:jc w:val="both"/>
        <w:rPr>
          <w:rFonts w:asciiTheme="minorHAnsi" w:hAnsiTheme="minorHAnsi" w:cstheme="minorHAnsi"/>
          <w:color w:val="auto"/>
          <w:sz w:val="22"/>
          <w:szCs w:val="22"/>
        </w:rPr>
      </w:pPr>
    </w:p>
    <w:p w:rsidR="00AD7CB3" w:rsidRDefault="00AD7CB3" w:rsidP="00AD7CB3">
      <w:pPr>
        <w:pStyle w:val="Default"/>
        <w:jc w:val="both"/>
        <w:rPr>
          <w:rFonts w:asciiTheme="minorHAnsi" w:hAnsiTheme="minorHAnsi" w:cstheme="minorHAnsi"/>
          <w:color w:val="auto"/>
          <w:sz w:val="22"/>
          <w:szCs w:val="22"/>
        </w:rPr>
      </w:pPr>
      <w:r>
        <w:rPr>
          <w:rFonts w:asciiTheme="minorHAnsi" w:hAnsiTheme="minorHAnsi" w:cstheme="minorHAnsi"/>
          <w:b/>
          <w:bCs/>
          <w:color w:val="auto"/>
          <w:sz w:val="22"/>
          <w:szCs w:val="22"/>
        </w:rPr>
        <w:t>Art. 5</w:t>
      </w:r>
      <w:r w:rsidRPr="00A3147D">
        <w:rPr>
          <w:rFonts w:asciiTheme="minorHAnsi" w:hAnsiTheme="minorHAnsi" w:cstheme="minorHAnsi"/>
          <w:b/>
          <w:bCs/>
          <w:color w:val="auto"/>
          <w:sz w:val="22"/>
          <w:szCs w:val="22"/>
        </w:rPr>
        <w:t xml:space="preserve"> </w:t>
      </w:r>
      <w:r>
        <w:rPr>
          <w:rFonts w:asciiTheme="minorHAnsi" w:hAnsiTheme="minorHAnsi" w:cstheme="minorHAnsi"/>
          <w:b/>
          <w:bCs/>
          <w:color w:val="auto"/>
          <w:sz w:val="22"/>
          <w:szCs w:val="22"/>
        </w:rPr>
        <w:tab/>
      </w:r>
      <w:r w:rsidRPr="00A3147D">
        <w:rPr>
          <w:rFonts w:asciiTheme="minorHAnsi" w:hAnsiTheme="minorHAnsi" w:cstheme="minorHAnsi"/>
          <w:color w:val="auto"/>
          <w:sz w:val="22"/>
          <w:szCs w:val="22"/>
        </w:rPr>
        <w:t xml:space="preserve">De periodes die de Rijksdienst voor Arbeidsvoorziening erkent als tijdelijke werkloosheid wegens overmacht ten gevolge van de pandemie, veroorzaakt door COVID-19, </w:t>
      </w:r>
      <w:r w:rsidRPr="00A002E1">
        <w:rPr>
          <w:rFonts w:asciiTheme="minorHAnsi" w:hAnsiTheme="minorHAnsi" w:cstheme="minorHAnsi"/>
          <w:b/>
          <w:color w:val="auto"/>
          <w:sz w:val="22"/>
          <w:szCs w:val="22"/>
        </w:rPr>
        <w:t>tellen mee als periode met recht op salaris die recht geeft op jaarlijkse vakantiedagen</w:t>
      </w:r>
      <w:r w:rsidRPr="00A3147D">
        <w:rPr>
          <w:rFonts w:asciiTheme="minorHAnsi" w:hAnsiTheme="minorHAnsi" w:cstheme="minorHAnsi"/>
          <w:color w:val="auto"/>
          <w:sz w:val="22"/>
          <w:szCs w:val="22"/>
        </w:rPr>
        <w:t xml:space="preserve">, vermeld in </w:t>
      </w:r>
      <w:r w:rsidRPr="000547B3">
        <w:rPr>
          <w:rFonts w:asciiTheme="minorHAnsi" w:hAnsiTheme="minorHAnsi" w:cstheme="minorHAnsi"/>
          <w:sz w:val="22"/>
          <w:szCs w:val="22"/>
          <w:highlight w:val="green"/>
        </w:rPr>
        <w:t>artikel 264</w:t>
      </w:r>
      <w:r>
        <w:rPr>
          <w:rFonts w:asciiTheme="minorHAnsi" w:hAnsiTheme="minorHAnsi" w:cstheme="minorHAnsi"/>
          <w:sz w:val="22"/>
          <w:szCs w:val="22"/>
        </w:rPr>
        <w:t xml:space="preserve"> van deze rechtspositieregeling.</w:t>
      </w:r>
      <w:r w:rsidRPr="00A3147D">
        <w:rPr>
          <w:rFonts w:asciiTheme="minorHAnsi" w:hAnsiTheme="minorHAnsi" w:cstheme="minorHAnsi"/>
          <w:color w:val="auto"/>
          <w:sz w:val="22"/>
          <w:szCs w:val="22"/>
        </w:rPr>
        <w:t xml:space="preserve"> </w:t>
      </w:r>
    </w:p>
    <w:p w:rsidR="00AD7CB3" w:rsidRPr="00A3147D" w:rsidRDefault="00AD7CB3" w:rsidP="00AD7CB3">
      <w:pPr>
        <w:pStyle w:val="Default"/>
        <w:jc w:val="both"/>
        <w:rPr>
          <w:rFonts w:asciiTheme="minorHAnsi" w:hAnsiTheme="minorHAnsi" w:cstheme="minorHAnsi"/>
          <w:color w:val="auto"/>
          <w:sz w:val="22"/>
          <w:szCs w:val="22"/>
        </w:rPr>
      </w:pPr>
    </w:p>
    <w:p w:rsidR="00AD7CB3" w:rsidRDefault="00AD7CB3" w:rsidP="00AD7CB3">
      <w:pPr>
        <w:pStyle w:val="Default"/>
        <w:jc w:val="both"/>
        <w:rPr>
          <w:rFonts w:asciiTheme="minorHAnsi" w:hAnsiTheme="minorHAnsi" w:cstheme="minorHAnsi"/>
          <w:color w:val="auto"/>
          <w:sz w:val="22"/>
          <w:szCs w:val="22"/>
        </w:rPr>
      </w:pPr>
      <w:r w:rsidRPr="00A3147D">
        <w:rPr>
          <w:rFonts w:asciiTheme="minorHAnsi" w:hAnsiTheme="minorHAnsi" w:cstheme="minorHAnsi"/>
          <w:b/>
          <w:bCs/>
          <w:color w:val="auto"/>
          <w:sz w:val="22"/>
          <w:szCs w:val="22"/>
        </w:rPr>
        <w:t xml:space="preserve">Art. </w:t>
      </w:r>
      <w:r>
        <w:rPr>
          <w:rFonts w:asciiTheme="minorHAnsi" w:hAnsiTheme="minorHAnsi" w:cstheme="minorHAnsi"/>
          <w:b/>
          <w:bCs/>
          <w:color w:val="auto"/>
          <w:sz w:val="22"/>
          <w:szCs w:val="22"/>
        </w:rPr>
        <w:t>6</w:t>
      </w:r>
      <w:r w:rsidRPr="00A3147D">
        <w:rPr>
          <w:rFonts w:asciiTheme="minorHAnsi" w:hAnsiTheme="minorHAnsi" w:cstheme="minorHAnsi"/>
          <w:b/>
          <w:bCs/>
          <w:color w:val="auto"/>
          <w:sz w:val="22"/>
          <w:szCs w:val="22"/>
        </w:rPr>
        <w:t xml:space="preserve"> </w:t>
      </w:r>
      <w:r>
        <w:rPr>
          <w:rFonts w:asciiTheme="minorHAnsi" w:hAnsiTheme="minorHAnsi" w:cstheme="minorHAnsi"/>
          <w:b/>
          <w:bCs/>
          <w:color w:val="auto"/>
          <w:sz w:val="22"/>
          <w:szCs w:val="22"/>
        </w:rPr>
        <w:tab/>
      </w:r>
      <w:r w:rsidRPr="00A3147D">
        <w:rPr>
          <w:rFonts w:asciiTheme="minorHAnsi" w:hAnsiTheme="minorHAnsi" w:cstheme="minorHAnsi"/>
          <w:color w:val="auto"/>
          <w:sz w:val="22"/>
          <w:szCs w:val="22"/>
        </w:rPr>
        <w:t xml:space="preserve">Het </w:t>
      </w:r>
      <w:r w:rsidRPr="00A002E1">
        <w:rPr>
          <w:rFonts w:asciiTheme="minorHAnsi" w:hAnsiTheme="minorHAnsi" w:cstheme="minorHAnsi"/>
          <w:b/>
          <w:color w:val="auto"/>
          <w:sz w:val="22"/>
          <w:szCs w:val="22"/>
        </w:rPr>
        <w:t>corona-ouderschapsverlof</w:t>
      </w:r>
      <w:r w:rsidRPr="00A3147D">
        <w:rPr>
          <w:rFonts w:asciiTheme="minorHAnsi" w:hAnsiTheme="minorHAnsi" w:cstheme="minorHAnsi"/>
          <w:color w:val="auto"/>
          <w:sz w:val="22"/>
          <w:szCs w:val="22"/>
        </w:rPr>
        <w:t xml:space="preserve">, vermeld in het koninklijk besluit nr. 23 van 13 mei 2020 tot uitvoering van artikel 5, §1, 5°, van de wet van 27 maart 2020 die machtiging verleent aan de Koning om maatregelen te nemen in de strijd tegen de verspreiding van het coronavirus COVID-19 (II) houdende het corona- ouderschapsverlof, </w:t>
      </w:r>
      <w:r w:rsidRPr="00A002E1">
        <w:rPr>
          <w:rFonts w:asciiTheme="minorHAnsi" w:hAnsiTheme="minorHAnsi" w:cstheme="minorHAnsi"/>
          <w:b/>
          <w:color w:val="auto"/>
          <w:sz w:val="22"/>
          <w:szCs w:val="22"/>
        </w:rPr>
        <w:t>wordt gelijkgesteld met het ouderschapsverlof</w:t>
      </w:r>
      <w:r w:rsidRPr="00A3147D">
        <w:rPr>
          <w:rFonts w:asciiTheme="minorHAnsi" w:hAnsiTheme="minorHAnsi" w:cstheme="minorHAnsi"/>
          <w:color w:val="auto"/>
          <w:sz w:val="22"/>
          <w:szCs w:val="22"/>
        </w:rPr>
        <w:t xml:space="preserve">, vermeld in </w:t>
      </w:r>
      <w:r w:rsidRPr="000547B3">
        <w:rPr>
          <w:rFonts w:asciiTheme="minorHAnsi" w:hAnsiTheme="minorHAnsi" w:cstheme="minorHAnsi"/>
          <w:sz w:val="22"/>
          <w:szCs w:val="22"/>
          <w:highlight w:val="green"/>
        </w:rPr>
        <w:t>artikel 296</w:t>
      </w:r>
      <w:r>
        <w:rPr>
          <w:rFonts w:asciiTheme="minorHAnsi" w:hAnsiTheme="minorHAnsi" w:cstheme="minorHAnsi"/>
          <w:sz w:val="22"/>
          <w:szCs w:val="22"/>
        </w:rPr>
        <w:t xml:space="preserve"> van deze rechtspositieregeling.</w:t>
      </w:r>
      <w:r w:rsidRPr="00A3147D">
        <w:rPr>
          <w:rFonts w:asciiTheme="minorHAnsi" w:hAnsiTheme="minorHAnsi" w:cstheme="minorHAnsi"/>
          <w:color w:val="auto"/>
          <w:sz w:val="22"/>
          <w:szCs w:val="22"/>
        </w:rPr>
        <w:t xml:space="preserve"> </w:t>
      </w:r>
    </w:p>
    <w:p w:rsidR="00AD7CB3" w:rsidRPr="00A3147D" w:rsidRDefault="00AD7CB3" w:rsidP="00AD7CB3">
      <w:pPr>
        <w:pStyle w:val="Default"/>
        <w:jc w:val="both"/>
        <w:rPr>
          <w:rFonts w:asciiTheme="minorHAnsi" w:hAnsiTheme="minorHAnsi" w:cstheme="minorHAnsi"/>
          <w:color w:val="auto"/>
          <w:sz w:val="22"/>
          <w:szCs w:val="22"/>
        </w:rPr>
      </w:pPr>
    </w:p>
    <w:p w:rsidR="00AD7CB3" w:rsidRDefault="00AD7CB3" w:rsidP="00AD7CB3">
      <w:pPr>
        <w:pStyle w:val="Default"/>
        <w:jc w:val="both"/>
        <w:rPr>
          <w:rFonts w:asciiTheme="minorHAnsi" w:hAnsiTheme="minorHAnsi" w:cstheme="minorHAnsi"/>
          <w:b/>
          <w:bCs/>
          <w:color w:val="auto"/>
          <w:sz w:val="22"/>
          <w:szCs w:val="22"/>
        </w:rPr>
      </w:pPr>
      <w:r>
        <w:rPr>
          <w:rFonts w:asciiTheme="minorHAnsi" w:hAnsiTheme="minorHAnsi" w:cstheme="minorHAnsi"/>
          <w:b/>
          <w:bCs/>
          <w:color w:val="auto"/>
          <w:sz w:val="22"/>
          <w:szCs w:val="22"/>
        </w:rPr>
        <w:t>Art. 7</w:t>
      </w:r>
      <w:r w:rsidRPr="00A3147D">
        <w:rPr>
          <w:rFonts w:asciiTheme="minorHAnsi" w:hAnsiTheme="minorHAnsi" w:cstheme="minorHAnsi"/>
          <w:b/>
          <w:bCs/>
          <w:color w:val="auto"/>
          <w:sz w:val="22"/>
          <w:szCs w:val="22"/>
        </w:rPr>
        <w:t xml:space="preserve"> </w:t>
      </w:r>
    </w:p>
    <w:p w:rsidR="00AD7CB3" w:rsidRPr="00A3147D" w:rsidRDefault="00AD7CB3" w:rsidP="00AD7CB3">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§1</w:t>
      </w:r>
      <w:r>
        <w:rPr>
          <w:rFonts w:asciiTheme="minorHAnsi" w:hAnsiTheme="minorHAnsi" w:cstheme="minorHAnsi"/>
          <w:color w:val="auto"/>
          <w:sz w:val="22"/>
          <w:szCs w:val="22"/>
        </w:rPr>
        <w:tab/>
      </w:r>
      <w:r w:rsidRPr="00A3147D">
        <w:rPr>
          <w:rFonts w:asciiTheme="minorHAnsi" w:hAnsiTheme="minorHAnsi" w:cstheme="minorHAnsi"/>
          <w:color w:val="auto"/>
          <w:sz w:val="22"/>
          <w:szCs w:val="22"/>
        </w:rPr>
        <w:t xml:space="preserve">Als het </w:t>
      </w:r>
      <w:r w:rsidRPr="00A002E1">
        <w:rPr>
          <w:rFonts w:asciiTheme="minorHAnsi" w:hAnsiTheme="minorHAnsi" w:cstheme="minorHAnsi"/>
          <w:b/>
          <w:color w:val="auto"/>
          <w:sz w:val="22"/>
          <w:szCs w:val="22"/>
        </w:rPr>
        <w:t>statutaire personeelslid</w:t>
      </w:r>
      <w:r>
        <w:rPr>
          <w:rFonts w:asciiTheme="minorHAnsi" w:hAnsiTheme="minorHAnsi" w:cstheme="minorHAnsi"/>
          <w:color w:val="auto"/>
          <w:sz w:val="22"/>
          <w:szCs w:val="22"/>
        </w:rPr>
        <w:t xml:space="preserve"> </w:t>
      </w:r>
      <w:r w:rsidRPr="00A002E1">
        <w:rPr>
          <w:rFonts w:asciiTheme="minorHAnsi" w:hAnsiTheme="minorHAnsi" w:cstheme="minorHAnsi"/>
          <w:color w:val="auto"/>
          <w:sz w:val="22"/>
          <w:szCs w:val="22"/>
        </w:rPr>
        <w:t>niet kan telewerken</w:t>
      </w:r>
      <w:r w:rsidRPr="00A3147D">
        <w:rPr>
          <w:rFonts w:asciiTheme="minorHAnsi" w:hAnsiTheme="minorHAnsi" w:cstheme="minorHAnsi"/>
          <w:color w:val="auto"/>
          <w:sz w:val="22"/>
          <w:szCs w:val="22"/>
        </w:rPr>
        <w:t xml:space="preserve">, ook niet in een andere gepaste functie, en er geen oplossing gevonden kan worden door overuren of andere vormen van verlof op te nemen, dan heeft dat personeelslid </w:t>
      </w:r>
      <w:r w:rsidRPr="00A002E1">
        <w:rPr>
          <w:rFonts w:asciiTheme="minorHAnsi" w:hAnsiTheme="minorHAnsi" w:cstheme="minorHAnsi"/>
          <w:b/>
          <w:color w:val="auto"/>
          <w:sz w:val="22"/>
          <w:szCs w:val="22"/>
        </w:rPr>
        <w:t>in de volgende gevallen recht op verlof</w:t>
      </w:r>
      <w:r w:rsidRPr="00A3147D">
        <w:rPr>
          <w:rFonts w:asciiTheme="minorHAnsi" w:hAnsiTheme="minorHAnsi" w:cstheme="minorHAnsi"/>
          <w:color w:val="auto"/>
          <w:sz w:val="22"/>
          <w:szCs w:val="22"/>
        </w:rPr>
        <w:t xml:space="preserve">: </w:t>
      </w:r>
    </w:p>
    <w:p w:rsidR="00AD7CB3"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 xml:space="preserve">1° als een minderjarig kind dat met hem samenwoont ofwel niet naar zijn kinderdagverblijf, </w:t>
      </w:r>
    </w:p>
    <w:p w:rsidR="00AD7CB3"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 xml:space="preserve">ofwel niet naar school kan gaan, omdat het kinderdagverblijf, de klas of de school waarvan het </w:t>
      </w:r>
    </w:p>
    <w:p w:rsidR="00AD7CB3"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 xml:space="preserve">deel uitmaakt wordt gesloten als gevolg van een maatregel om de verspreiding van COVID-19 </w:t>
      </w:r>
    </w:p>
    <w:p w:rsidR="00AD7CB3"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 xml:space="preserve">te beperken; </w:t>
      </w:r>
    </w:p>
    <w:p w:rsidR="00AD7CB3"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2° als het een gehandicapt kind ten laste heeft, ongeacht de lee</w:t>
      </w:r>
      <w:r>
        <w:rPr>
          <w:rFonts w:asciiTheme="minorHAnsi" w:hAnsiTheme="minorHAnsi" w:cstheme="minorHAnsi"/>
          <w:color w:val="auto"/>
          <w:sz w:val="22"/>
          <w:szCs w:val="22"/>
        </w:rPr>
        <w:t>ftijd van dat kind, en dat kind</w:t>
      </w:r>
    </w:p>
    <w:p w:rsidR="00AD7CB3"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niet naar een centrum voor opvang van gehandicapte perso</w:t>
      </w:r>
      <w:r>
        <w:rPr>
          <w:rFonts w:asciiTheme="minorHAnsi" w:hAnsiTheme="minorHAnsi" w:cstheme="minorHAnsi"/>
          <w:color w:val="auto"/>
          <w:sz w:val="22"/>
          <w:szCs w:val="22"/>
        </w:rPr>
        <w:t>nen kan gaan, omdat dat centrum</w:t>
      </w:r>
    </w:p>
    <w:p w:rsidR="00AD7CB3"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 xml:space="preserve">wordt gesloten als gevolg van een maatregel om de verspreiding van COVID-19 te beperken; </w:t>
      </w:r>
    </w:p>
    <w:p w:rsidR="00AD7CB3"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lastRenderedPageBreak/>
        <w:t>3° als het een quarantainevoorschrift voorlegt waardoor het pe</w:t>
      </w:r>
      <w:r>
        <w:rPr>
          <w:rFonts w:asciiTheme="minorHAnsi" w:hAnsiTheme="minorHAnsi" w:cstheme="minorHAnsi"/>
          <w:color w:val="auto"/>
          <w:sz w:val="22"/>
          <w:szCs w:val="22"/>
        </w:rPr>
        <w:t>rsoneelslid zich niet naar zijn</w:t>
      </w:r>
    </w:p>
    <w:p w:rsidR="00AD7CB3" w:rsidRPr="00A3147D"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 xml:space="preserve">werkplek kan begeven gedurende een bepaalde periode. </w:t>
      </w:r>
    </w:p>
    <w:p w:rsidR="00AD7CB3" w:rsidRPr="00A3147D" w:rsidRDefault="00AD7CB3" w:rsidP="00AD7CB3">
      <w:pPr>
        <w:pStyle w:val="Default"/>
        <w:jc w:val="both"/>
        <w:rPr>
          <w:rFonts w:asciiTheme="minorHAnsi" w:hAnsiTheme="minorHAnsi" w:cstheme="minorHAnsi"/>
          <w:color w:val="auto"/>
          <w:sz w:val="22"/>
          <w:szCs w:val="22"/>
        </w:rPr>
      </w:pPr>
    </w:p>
    <w:p w:rsidR="00AD7CB3" w:rsidRDefault="00AD7CB3" w:rsidP="00AD7CB3">
      <w:pPr>
        <w:pStyle w:val="Default"/>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 xml:space="preserve">Het recht op verlof, vermeld in het eerste lid, geldt voor de duur van de periode dat het kind niet terug naar het kinderdagverblijf, de school of het centrum voor opvang van gehandicapte personen terug kan gaan, of voor de duur van het quarantainevoorschrift. </w:t>
      </w:r>
    </w:p>
    <w:p w:rsidR="00AD7CB3" w:rsidRPr="00A3147D" w:rsidRDefault="00AD7CB3" w:rsidP="00AD7CB3">
      <w:pPr>
        <w:pStyle w:val="Default"/>
        <w:jc w:val="both"/>
        <w:rPr>
          <w:rFonts w:asciiTheme="minorHAnsi" w:hAnsiTheme="minorHAnsi" w:cstheme="minorHAnsi"/>
          <w:color w:val="auto"/>
          <w:sz w:val="22"/>
          <w:szCs w:val="22"/>
        </w:rPr>
      </w:pPr>
    </w:p>
    <w:p w:rsidR="00AD7CB3" w:rsidRPr="00A3147D" w:rsidRDefault="00AD7CB3" w:rsidP="00AD7CB3">
      <w:pPr>
        <w:pStyle w:val="Default"/>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 xml:space="preserve">Om van dat recht gebruik te kunnen maken moet het personeelslid: </w:t>
      </w:r>
    </w:p>
    <w:p w:rsidR="00AD7CB3" w:rsidRPr="00A3147D"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 xml:space="preserve">1° het bestuur onmiddellijk op de hoogte brengen; </w:t>
      </w:r>
    </w:p>
    <w:p w:rsidR="00AD7CB3"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 xml:space="preserve">2° het bestuur een attest van het kinderdagverblijf, van de school of het centrum voor opvang </w:t>
      </w:r>
    </w:p>
    <w:p w:rsidR="00AD7CB3"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van gehandicapte personen bezorgen. In dat attest bevestigt de b</w:t>
      </w:r>
      <w:r>
        <w:rPr>
          <w:rFonts w:asciiTheme="minorHAnsi" w:hAnsiTheme="minorHAnsi" w:cstheme="minorHAnsi"/>
          <w:color w:val="auto"/>
          <w:sz w:val="22"/>
          <w:szCs w:val="22"/>
        </w:rPr>
        <w:t>etrokken instelling de sluiting</w:t>
      </w:r>
    </w:p>
    <w:p w:rsidR="00AD7CB3"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van de klas, school of centrum voor opvang van gehandica</w:t>
      </w:r>
      <w:r>
        <w:rPr>
          <w:rFonts w:asciiTheme="minorHAnsi" w:hAnsiTheme="minorHAnsi" w:cstheme="minorHAnsi"/>
          <w:color w:val="auto"/>
          <w:sz w:val="22"/>
          <w:szCs w:val="22"/>
        </w:rPr>
        <w:t>pte personen als gevolg van een</w:t>
      </w:r>
    </w:p>
    <w:p w:rsidR="00AD7CB3"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maatregel om de verspreiding van COVID-19 te beperken.</w:t>
      </w:r>
      <w:r>
        <w:rPr>
          <w:rFonts w:asciiTheme="minorHAnsi" w:hAnsiTheme="minorHAnsi" w:cstheme="minorHAnsi"/>
          <w:color w:val="auto"/>
          <w:sz w:val="22"/>
          <w:szCs w:val="22"/>
        </w:rPr>
        <w:t xml:space="preserve"> Het attest vermeldt de periode</w:t>
      </w:r>
    </w:p>
    <w:p w:rsidR="00AD7CB3"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 xml:space="preserve">waarvoor de sluiting van toepassing is; </w:t>
      </w:r>
    </w:p>
    <w:p w:rsidR="00AD7CB3" w:rsidRDefault="00AD7CB3" w:rsidP="00AD7CB3">
      <w:pPr>
        <w:pStyle w:val="Default"/>
        <w:ind w:firstLine="708"/>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 xml:space="preserve">3° met toepassing van het eerste lid, 3°, het bestuur een quarantainegetuigschrift bezorgen. </w:t>
      </w:r>
    </w:p>
    <w:p w:rsidR="00AD7CB3" w:rsidRPr="00A3147D" w:rsidRDefault="00AD7CB3" w:rsidP="00AD7CB3">
      <w:pPr>
        <w:pStyle w:val="Default"/>
        <w:jc w:val="both"/>
        <w:rPr>
          <w:rFonts w:asciiTheme="minorHAnsi" w:hAnsiTheme="minorHAnsi" w:cstheme="minorHAnsi"/>
          <w:color w:val="auto"/>
          <w:sz w:val="22"/>
          <w:szCs w:val="22"/>
        </w:rPr>
      </w:pPr>
    </w:p>
    <w:p w:rsidR="00AD7CB3" w:rsidRDefault="00AD7CB3" w:rsidP="00AD7CB3">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§2</w:t>
      </w:r>
      <w:r>
        <w:rPr>
          <w:rFonts w:asciiTheme="minorHAnsi" w:hAnsiTheme="minorHAnsi" w:cstheme="minorHAnsi"/>
          <w:color w:val="auto"/>
          <w:sz w:val="22"/>
          <w:szCs w:val="22"/>
        </w:rPr>
        <w:tab/>
      </w:r>
      <w:r w:rsidRPr="00A3147D">
        <w:rPr>
          <w:rFonts w:asciiTheme="minorHAnsi" w:hAnsiTheme="minorHAnsi" w:cstheme="minorHAnsi"/>
          <w:color w:val="auto"/>
          <w:sz w:val="22"/>
          <w:szCs w:val="22"/>
        </w:rPr>
        <w:t xml:space="preserve">Het verlof, vermeld in paragraaf 1, wordt </w:t>
      </w:r>
      <w:r w:rsidRPr="0098617F">
        <w:rPr>
          <w:rFonts w:asciiTheme="minorHAnsi" w:hAnsiTheme="minorHAnsi" w:cstheme="minorHAnsi"/>
          <w:b/>
          <w:color w:val="auto"/>
          <w:sz w:val="22"/>
          <w:szCs w:val="22"/>
        </w:rPr>
        <w:t>gelijkgesteld met dienstactiviteit en telt mee als werkelijke dienst</w:t>
      </w:r>
      <w:r w:rsidRPr="00A3147D">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vermeld in </w:t>
      </w:r>
      <w:r w:rsidRPr="000D79C2">
        <w:rPr>
          <w:rFonts w:asciiTheme="minorHAnsi" w:hAnsiTheme="minorHAnsi" w:cstheme="minorHAnsi"/>
          <w:color w:val="auto"/>
          <w:sz w:val="22"/>
          <w:szCs w:val="22"/>
          <w:highlight w:val="green"/>
        </w:rPr>
        <w:t xml:space="preserve">artikel 93 </w:t>
      </w:r>
      <w:r>
        <w:rPr>
          <w:rFonts w:asciiTheme="minorHAnsi" w:hAnsiTheme="minorHAnsi" w:cstheme="minorHAnsi"/>
          <w:sz w:val="22"/>
          <w:szCs w:val="22"/>
        </w:rPr>
        <w:t>van deze rechtspositieregeling.</w:t>
      </w:r>
    </w:p>
    <w:p w:rsidR="00AD7CB3" w:rsidRPr="00A3147D" w:rsidRDefault="00AD7CB3" w:rsidP="00AD7CB3">
      <w:pPr>
        <w:pStyle w:val="Default"/>
        <w:jc w:val="both"/>
        <w:rPr>
          <w:rFonts w:asciiTheme="minorHAnsi" w:hAnsiTheme="minorHAnsi" w:cstheme="minorHAnsi"/>
          <w:color w:val="auto"/>
          <w:sz w:val="22"/>
          <w:szCs w:val="22"/>
        </w:rPr>
      </w:pPr>
    </w:p>
    <w:p w:rsidR="00AD7CB3" w:rsidRDefault="00AD7CB3" w:rsidP="00AD7CB3">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§3</w:t>
      </w:r>
      <w:r>
        <w:rPr>
          <w:rFonts w:asciiTheme="minorHAnsi" w:hAnsiTheme="minorHAnsi" w:cstheme="minorHAnsi"/>
          <w:color w:val="auto"/>
          <w:sz w:val="22"/>
          <w:szCs w:val="22"/>
        </w:rPr>
        <w:tab/>
      </w:r>
      <w:r w:rsidRPr="00A3147D">
        <w:rPr>
          <w:rFonts w:asciiTheme="minorHAnsi" w:hAnsiTheme="minorHAnsi" w:cstheme="minorHAnsi"/>
          <w:color w:val="auto"/>
          <w:sz w:val="22"/>
          <w:szCs w:val="22"/>
        </w:rPr>
        <w:t xml:space="preserve">Het verlof, vermeld in paragraaf 1, wordt </w:t>
      </w:r>
      <w:r w:rsidRPr="0098617F">
        <w:rPr>
          <w:rFonts w:asciiTheme="minorHAnsi" w:hAnsiTheme="minorHAnsi" w:cstheme="minorHAnsi"/>
          <w:b/>
          <w:color w:val="auto"/>
          <w:sz w:val="22"/>
          <w:szCs w:val="22"/>
        </w:rPr>
        <w:t xml:space="preserve">voor de berekening van de </w:t>
      </w:r>
      <w:proofErr w:type="spellStart"/>
      <w:r w:rsidRPr="0098617F">
        <w:rPr>
          <w:rFonts w:asciiTheme="minorHAnsi" w:hAnsiTheme="minorHAnsi" w:cstheme="minorHAnsi"/>
          <w:b/>
          <w:color w:val="auto"/>
          <w:sz w:val="22"/>
          <w:szCs w:val="22"/>
        </w:rPr>
        <w:t>eindejaarstoelage</w:t>
      </w:r>
      <w:proofErr w:type="spellEnd"/>
      <w:r w:rsidRPr="0098617F">
        <w:rPr>
          <w:rFonts w:asciiTheme="minorHAnsi" w:hAnsiTheme="minorHAnsi" w:cstheme="minorHAnsi"/>
          <w:b/>
          <w:color w:val="auto"/>
          <w:sz w:val="22"/>
          <w:szCs w:val="22"/>
        </w:rPr>
        <w:t xml:space="preserve"> gelijkgesteld met periodes waarvoor het personeelslid het salaris volledig heeft ontvangen</w:t>
      </w:r>
      <w:r w:rsidRPr="00A3147D">
        <w:rPr>
          <w:rFonts w:asciiTheme="minorHAnsi" w:hAnsiTheme="minorHAnsi" w:cstheme="minorHAnsi"/>
          <w:color w:val="auto"/>
          <w:sz w:val="22"/>
          <w:szCs w:val="22"/>
        </w:rPr>
        <w:t xml:space="preserve"> zoals vermeld in </w:t>
      </w:r>
      <w:r w:rsidRPr="000D79C2">
        <w:rPr>
          <w:rFonts w:asciiTheme="minorHAnsi" w:hAnsiTheme="minorHAnsi" w:cstheme="minorHAnsi"/>
          <w:sz w:val="22"/>
          <w:szCs w:val="22"/>
          <w:highlight w:val="green"/>
        </w:rPr>
        <w:t xml:space="preserve">artikel </w:t>
      </w:r>
      <w:r>
        <w:rPr>
          <w:rFonts w:asciiTheme="minorHAnsi" w:hAnsiTheme="minorHAnsi" w:cstheme="minorHAnsi"/>
          <w:sz w:val="22"/>
          <w:szCs w:val="22"/>
          <w:highlight w:val="green"/>
        </w:rPr>
        <w:t>199</w:t>
      </w:r>
      <w:r w:rsidRPr="000D79C2">
        <w:rPr>
          <w:rFonts w:asciiTheme="minorHAnsi" w:hAnsiTheme="minorHAnsi" w:cstheme="minorHAnsi"/>
          <w:sz w:val="22"/>
          <w:szCs w:val="22"/>
        </w:rPr>
        <w:t xml:space="preserve"> </w:t>
      </w:r>
      <w:r>
        <w:rPr>
          <w:rFonts w:asciiTheme="minorHAnsi" w:hAnsiTheme="minorHAnsi" w:cstheme="minorHAnsi"/>
          <w:sz w:val="22"/>
          <w:szCs w:val="22"/>
        </w:rPr>
        <w:t>van deze rechtspositieregeling</w:t>
      </w:r>
      <w:r w:rsidRPr="00A3147D">
        <w:rPr>
          <w:rFonts w:asciiTheme="minorHAnsi" w:hAnsiTheme="minorHAnsi" w:cstheme="minorHAnsi"/>
          <w:color w:val="auto"/>
          <w:sz w:val="22"/>
          <w:szCs w:val="22"/>
        </w:rPr>
        <w:t xml:space="preserve">, </w:t>
      </w:r>
      <w:r w:rsidRPr="0098617F">
        <w:rPr>
          <w:rFonts w:asciiTheme="minorHAnsi" w:hAnsiTheme="minorHAnsi" w:cstheme="minorHAnsi"/>
          <w:b/>
          <w:color w:val="auto"/>
          <w:sz w:val="22"/>
          <w:szCs w:val="22"/>
        </w:rPr>
        <w:t>op voorwaarde dat</w:t>
      </w:r>
      <w:r w:rsidRPr="00A3147D">
        <w:rPr>
          <w:rFonts w:asciiTheme="minorHAnsi" w:hAnsiTheme="minorHAnsi" w:cstheme="minorHAnsi"/>
          <w:color w:val="auto"/>
          <w:sz w:val="22"/>
          <w:szCs w:val="22"/>
        </w:rPr>
        <w:t xml:space="preserve"> het personeelslid tijdens de referentieperiode titularis van een betrekking met volledige prestaties of onvolledige prestaties was. </w:t>
      </w:r>
    </w:p>
    <w:p w:rsidR="00AD7CB3" w:rsidRPr="00A3147D" w:rsidRDefault="00AD7CB3" w:rsidP="00AD7CB3">
      <w:pPr>
        <w:pStyle w:val="Default"/>
        <w:jc w:val="both"/>
        <w:rPr>
          <w:rFonts w:asciiTheme="minorHAnsi" w:hAnsiTheme="minorHAnsi" w:cstheme="minorHAnsi"/>
          <w:color w:val="auto"/>
          <w:sz w:val="22"/>
          <w:szCs w:val="22"/>
        </w:rPr>
      </w:pPr>
    </w:p>
    <w:p w:rsidR="00AD7CB3" w:rsidRDefault="00AD7CB3" w:rsidP="00AD7CB3">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§4</w:t>
      </w:r>
      <w:r>
        <w:rPr>
          <w:rFonts w:asciiTheme="minorHAnsi" w:hAnsiTheme="minorHAnsi" w:cstheme="minorHAnsi"/>
          <w:color w:val="auto"/>
          <w:sz w:val="22"/>
          <w:szCs w:val="22"/>
        </w:rPr>
        <w:tab/>
      </w:r>
      <w:r w:rsidRPr="00A3147D">
        <w:rPr>
          <w:rFonts w:asciiTheme="minorHAnsi" w:hAnsiTheme="minorHAnsi" w:cstheme="minorHAnsi"/>
          <w:color w:val="auto"/>
          <w:sz w:val="22"/>
          <w:szCs w:val="22"/>
        </w:rPr>
        <w:t>Het verlof, vermeld in paragraaf 1, telt</w:t>
      </w:r>
      <w:r w:rsidRPr="0098617F">
        <w:rPr>
          <w:rFonts w:asciiTheme="minorHAnsi" w:hAnsiTheme="minorHAnsi" w:cstheme="minorHAnsi"/>
          <w:b/>
          <w:color w:val="auto"/>
          <w:sz w:val="22"/>
          <w:szCs w:val="22"/>
        </w:rPr>
        <w:t xml:space="preserve"> mee als periode met recht op salaris die recht geeft op jaarlijkse vakantiedagen</w:t>
      </w:r>
      <w:r w:rsidRPr="00A3147D">
        <w:rPr>
          <w:rFonts w:asciiTheme="minorHAnsi" w:hAnsiTheme="minorHAnsi" w:cstheme="minorHAnsi"/>
          <w:color w:val="auto"/>
          <w:sz w:val="22"/>
          <w:szCs w:val="22"/>
        </w:rPr>
        <w:t xml:space="preserve">, vermeld in </w:t>
      </w:r>
      <w:r w:rsidRPr="000D79C2">
        <w:rPr>
          <w:rFonts w:asciiTheme="minorHAnsi" w:hAnsiTheme="minorHAnsi" w:cstheme="minorHAnsi"/>
          <w:sz w:val="22"/>
          <w:szCs w:val="22"/>
          <w:highlight w:val="green"/>
        </w:rPr>
        <w:t>artikel 264</w:t>
      </w:r>
      <w:r>
        <w:rPr>
          <w:rFonts w:asciiTheme="minorHAnsi" w:hAnsiTheme="minorHAnsi" w:cstheme="minorHAnsi"/>
          <w:sz w:val="22"/>
          <w:szCs w:val="22"/>
        </w:rPr>
        <w:t xml:space="preserve"> van deze rechtspositieregeling.</w:t>
      </w:r>
    </w:p>
    <w:p w:rsidR="00AD7CB3" w:rsidRPr="00A3147D" w:rsidRDefault="00AD7CB3" w:rsidP="00AD7CB3">
      <w:pPr>
        <w:pStyle w:val="Default"/>
        <w:jc w:val="both"/>
        <w:rPr>
          <w:rFonts w:asciiTheme="minorHAnsi" w:hAnsiTheme="minorHAnsi" w:cstheme="minorHAnsi"/>
          <w:color w:val="auto"/>
          <w:sz w:val="22"/>
          <w:szCs w:val="22"/>
        </w:rPr>
      </w:pPr>
    </w:p>
    <w:p w:rsidR="00AD7CB3" w:rsidRDefault="00AD7CB3" w:rsidP="00AD7CB3">
      <w:pPr>
        <w:pStyle w:val="Default"/>
        <w:jc w:val="both"/>
        <w:rPr>
          <w:rFonts w:asciiTheme="minorHAnsi" w:hAnsiTheme="minorHAnsi" w:cstheme="minorHAnsi"/>
          <w:color w:val="auto"/>
          <w:sz w:val="22"/>
          <w:szCs w:val="22"/>
        </w:rPr>
      </w:pPr>
      <w:r>
        <w:rPr>
          <w:rFonts w:asciiTheme="minorHAnsi" w:hAnsiTheme="minorHAnsi" w:cstheme="minorHAnsi"/>
          <w:color w:val="auto"/>
          <w:sz w:val="22"/>
          <w:szCs w:val="22"/>
        </w:rPr>
        <w:t>§5</w:t>
      </w:r>
      <w:r>
        <w:rPr>
          <w:rFonts w:asciiTheme="minorHAnsi" w:hAnsiTheme="minorHAnsi" w:cstheme="minorHAnsi"/>
          <w:color w:val="auto"/>
          <w:sz w:val="22"/>
          <w:szCs w:val="22"/>
        </w:rPr>
        <w:tab/>
      </w:r>
      <w:r w:rsidRPr="00A3147D">
        <w:rPr>
          <w:rFonts w:asciiTheme="minorHAnsi" w:hAnsiTheme="minorHAnsi" w:cstheme="minorHAnsi"/>
          <w:color w:val="auto"/>
          <w:sz w:val="22"/>
          <w:szCs w:val="22"/>
        </w:rPr>
        <w:t xml:space="preserve">Het statutaire personeelslid heeft tijdens het verlof, vermeld in paragraaf 1, </w:t>
      </w:r>
      <w:r w:rsidRPr="0098617F">
        <w:rPr>
          <w:rFonts w:asciiTheme="minorHAnsi" w:hAnsiTheme="minorHAnsi" w:cstheme="minorHAnsi"/>
          <w:b/>
          <w:color w:val="auto"/>
          <w:sz w:val="22"/>
          <w:szCs w:val="22"/>
        </w:rPr>
        <w:t>recht op een verloning die gelijk is aan 80%</w:t>
      </w:r>
      <w:r w:rsidR="00111E8F">
        <w:rPr>
          <w:rFonts w:asciiTheme="minorHAnsi" w:hAnsiTheme="minorHAnsi" w:cstheme="minorHAnsi"/>
          <w:b/>
          <w:color w:val="auto"/>
          <w:sz w:val="22"/>
          <w:szCs w:val="22"/>
        </w:rPr>
        <w:t xml:space="preserve"> </w:t>
      </w:r>
      <w:r w:rsidRPr="00A3147D">
        <w:rPr>
          <w:rFonts w:asciiTheme="minorHAnsi" w:hAnsiTheme="minorHAnsi" w:cstheme="minorHAnsi"/>
          <w:color w:val="auto"/>
          <w:sz w:val="22"/>
          <w:szCs w:val="22"/>
        </w:rPr>
        <w:t>van het brutosalaris.</w:t>
      </w:r>
      <w:r>
        <w:rPr>
          <w:rFonts w:asciiTheme="minorHAnsi" w:hAnsiTheme="minorHAnsi" w:cstheme="minorHAnsi"/>
          <w:color w:val="auto"/>
          <w:sz w:val="22"/>
          <w:szCs w:val="22"/>
        </w:rPr>
        <w:t xml:space="preserve"> </w:t>
      </w:r>
    </w:p>
    <w:p w:rsidR="00AD7CB3" w:rsidRDefault="00AD7CB3" w:rsidP="00AD7CB3">
      <w:pPr>
        <w:pStyle w:val="Default"/>
        <w:jc w:val="both"/>
        <w:rPr>
          <w:rFonts w:asciiTheme="minorHAnsi" w:hAnsiTheme="minorHAnsi" w:cstheme="minorHAnsi"/>
          <w:color w:val="auto"/>
          <w:sz w:val="22"/>
          <w:szCs w:val="22"/>
        </w:rPr>
      </w:pPr>
      <w:r w:rsidRPr="00A3147D">
        <w:rPr>
          <w:rFonts w:asciiTheme="minorHAnsi" w:hAnsiTheme="minorHAnsi" w:cstheme="minorHAnsi"/>
          <w:color w:val="auto"/>
          <w:sz w:val="22"/>
          <w:szCs w:val="22"/>
        </w:rPr>
        <w:t xml:space="preserve">Voor de toepassing van het eerste lid geldt er een beperking van het brutosalaris op jaarbasis tot 21.000 euro tegen 100%. Het brutosalaris wordt gekoppeld aan het spilindexcijfer 138,01. </w:t>
      </w:r>
    </w:p>
    <w:p w:rsidR="00AD7CB3" w:rsidRPr="00A71EBD" w:rsidRDefault="00AD7CB3" w:rsidP="00AD7CB3">
      <w:pPr>
        <w:pStyle w:val="standaard0"/>
        <w:jc w:val="both"/>
        <w:rPr>
          <w:rFonts w:asciiTheme="minorHAnsi" w:hAnsiTheme="minorHAnsi" w:cstheme="minorHAnsi"/>
          <w:color w:val="808080"/>
        </w:rPr>
      </w:pPr>
    </w:p>
    <w:p w:rsidR="00CB62FB" w:rsidRDefault="00CB62FB"/>
    <w:sectPr w:rsidR="00CB62FB" w:rsidSect="00AD7CB3">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05A"/>
    <w:rsid w:val="00071D18"/>
    <w:rsid w:val="00111E8F"/>
    <w:rsid w:val="0050305A"/>
    <w:rsid w:val="00AD7CB3"/>
    <w:rsid w:val="00CB62F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AC82B"/>
  <w15:chartTrackingRefBased/>
  <w15:docId w15:val="{F430013E-FD29-4667-AFE5-AF4BCCA2E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50305A"/>
    <w:pPr>
      <w:spacing w:after="0" w:line="240" w:lineRule="auto"/>
    </w:pPr>
    <w:rPr>
      <w:rFonts w:ascii="Times New Roman" w:eastAsia="Times New Roman" w:hAnsi="Times New Roman" w:cs="Times New Roman"/>
      <w:sz w:val="24"/>
      <w:szCs w:val="24"/>
      <w:lang w:val="nl-NL" w:eastAsia="nl-NL"/>
    </w:rPr>
  </w:style>
  <w:style w:type="paragraph" w:styleId="Kop1">
    <w:name w:val="heading 1"/>
    <w:basedOn w:val="Standaard"/>
    <w:next w:val="Standaard"/>
    <w:link w:val="Kop1Char"/>
    <w:qFormat/>
    <w:rsid w:val="0050305A"/>
    <w:pPr>
      <w:keepNext/>
      <w:spacing w:before="360" w:after="480"/>
      <w:outlineLvl w:val="0"/>
    </w:pPr>
    <w:rPr>
      <w:rFonts w:ascii="Gill Sans MT" w:hAnsi="Gill Sans MT" w:cs="Arial"/>
      <w:b/>
      <w:bCs/>
      <w:kern w:val="32"/>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50305A"/>
    <w:rPr>
      <w:rFonts w:ascii="Gill Sans MT" w:eastAsia="Times New Roman" w:hAnsi="Gill Sans MT" w:cs="Arial"/>
      <w:b/>
      <w:bCs/>
      <w:kern w:val="32"/>
      <w:sz w:val="32"/>
      <w:szCs w:val="32"/>
      <w:lang w:val="nl-NL" w:eastAsia="nl-NL"/>
    </w:rPr>
  </w:style>
  <w:style w:type="paragraph" w:customStyle="1" w:styleId="standaard0">
    <w:name w:val="standaard"/>
    <w:basedOn w:val="Standaard"/>
    <w:rsid w:val="0050305A"/>
    <w:rPr>
      <w:rFonts w:ascii="Gill Sans MT" w:hAnsi="Gill Sans MT"/>
      <w:color w:val="646464"/>
      <w:sz w:val="22"/>
      <w:szCs w:val="22"/>
    </w:rPr>
  </w:style>
  <w:style w:type="paragraph" w:customStyle="1" w:styleId="Default">
    <w:name w:val="Default"/>
    <w:rsid w:val="0050305A"/>
    <w:pPr>
      <w:autoSpaceDE w:val="0"/>
      <w:autoSpaceDN w:val="0"/>
      <w:adjustRightInd w:val="0"/>
      <w:spacing w:after="0" w:line="240" w:lineRule="auto"/>
    </w:pPr>
    <w:rPr>
      <w:rFonts w:ascii="Verdana" w:eastAsia="Times New Roman" w:hAnsi="Verdana" w:cs="Verdana"/>
      <w:color w:val="000000"/>
      <w:sz w:val="24"/>
      <w:szCs w:val="24"/>
      <w:lang w:val="nl-NL" w:eastAsia="nl-NL"/>
    </w:rPr>
  </w:style>
  <w:style w:type="paragraph" w:styleId="Ballontekst">
    <w:name w:val="Balloon Text"/>
    <w:basedOn w:val="Standaard"/>
    <w:link w:val="BallontekstChar"/>
    <w:uiPriority w:val="99"/>
    <w:semiHidden/>
    <w:unhideWhenUsed/>
    <w:rsid w:val="0050305A"/>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0305A"/>
    <w:rPr>
      <w:rFonts w:ascii="Segoe UI" w:eastAsia="Times New Roman" w:hAnsi="Segoe UI" w:cs="Segoe UI"/>
      <w:sz w:val="18"/>
      <w:szCs w:val="18"/>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410C8-1EF7-4F67-B5CA-790F6A2D6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Pages>
  <Words>822</Words>
  <Characters>4524</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Stad Menen</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 Motte</dc:creator>
  <cp:keywords/>
  <dc:description/>
  <cp:lastModifiedBy>Pieter Duprez</cp:lastModifiedBy>
  <cp:revision>3</cp:revision>
  <cp:lastPrinted>2021-05-25T12:51:00Z</cp:lastPrinted>
  <dcterms:created xsi:type="dcterms:W3CDTF">2021-05-25T12:50:00Z</dcterms:created>
  <dcterms:modified xsi:type="dcterms:W3CDTF">2021-06-17T13:57:00Z</dcterms:modified>
</cp:coreProperties>
</file>